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1089" w14:textId="77777777" w:rsidR="00D73008" w:rsidRDefault="00D73008" w:rsidP="00710BDF"/>
    <w:p w14:paraId="71D81BF4" w14:textId="77777777" w:rsidR="00710BDF" w:rsidRDefault="00710BDF" w:rsidP="00710BDF">
      <w:pPr>
        <w:rPr>
          <w:b/>
        </w:rPr>
      </w:pPr>
      <w:r>
        <w:rPr>
          <w:b/>
        </w:rPr>
        <w:t>COMPLETED BY:</w:t>
      </w:r>
    </w:p>
    <w:p w14:paraId="0AB544B9" w14:textId="77777777" w:rsidR="00710BDF" w:rsidRDefault="00710BDF" w:rsidP="00710BDF">
      <w:pPr>
        <w:pStyle w:val="ListParagraph"/>
        <w:numPr>
          <w:ilvl w:val="0"/>
          <w:numId w:val="2"/>
        </w:numPr>
      </w:pPr>
      <w:r>
        <w:t>Client</w:t>
      </w:r>
    </w:p>
    <w:p w14:paraId="671A2208" w14:textId="77777777" w:rsidR="00710BDF" w:rsidRDefault="00710BDF" w:rsidP="00710BDF">
      <w:pPr>
        <w:pStyle w:val="ListParagraph"/>
        <w:numPr>
          <w:ilvl w:val="0"/>
          <w:numId w:val="2"/>
        </w:numPr>
      </w:pPr>
      <w:r>
        <w:t>Staff may offer assistance should the client need assistance.</w:t>
      </w:r>
    </w:p>
    <w:p w14:paraId="709868EA" w14:textId="77777777" w:rsidR="00710BDF" w:rsidRDefault="00710BDF" w:rsidP="00710BDF"/>
    <w:p w14:paraId="21FDDB4F" w14:textId="77777777" w:rsidR="00710BDF" w:rsidRDefault="00710BDF" w:rsidP="00710BDF"/>
    <w:p w14:paraId="22D33ABF" w14:textId="77777777" w:rsidR="00710BDF" w:rsidRDefault="00710BDF" w:rsidP="00710BDF">
      <w:pPr>
        <w:rPr>
          <w:b/>
        </w:rPr>
      </w:pPr>
      <w:r>
        <w:rPr>
          <w:b/>
        </w:rPr>
        <w:t>COMPLIANCE REQUIREMENTS</w:t>
      </w:r>
    </w:p>
    <w:p w14:paraId="1C816B16" w14:textId="77777777" w:rsidR="00710BDF" w:rsidRDefault="00710BDF" w:rsidP="00710BDF">
      <w:pPr>
        <w:pStyle w:val="ListParagraph"/>
        <w:numPr>
          <w:ilvl w:val="0"/>
          <w:numId w:val="3"/>
        </w:numPr>
      </w:pPr>
      <w:r>
        <w:t>All prompts should be completed.</w:t>
      </w:r>
    </w:p>
    <w:p w14:paraId="2BF5D939" w14:textId="77777777" w:rsidR="00710BDF" w:rsidRDefault="00710BDF" w:rsidP="00710BDF">
      <w:pPr>
        <w:pStyle w:val="ListParagraph"/>
        <w:numPr>
          <w:ilvl w:val="0"/>
          <w:numId w:val="3"/>
        </w:numPr>
      </w:pPr>
      <w:r>
        <w:t>The following five life domains are rated by circling a 1-5 or non-applicable:</w:t>
      </w:r>
      <w:r>
        <w:tab/>
      </w:r>
    </w:p>
    <w:p w14:paraId="119B3C52" w14:textId="77777777" w:rsidR="00710BDF" w:rsidRDefault="00710BDF" w:rsidP="00710BDF">
      <w:pPr>
        <w:pStyle w:val="ListParagraph"/>
        <w:numPr>
          <w:ilvl w:val="1"/>
          <w:numId w:val="3"/>
        </w:numPr>
      </w:pPr>
      <w:r>
        <w:t>Health/Mental Health</w:t>
      </w:r>
    </w:p>
    <w:p w14:paraId="0B65DCC0" w14:textId="77777777" w:rsidR="00710BDF" w:rsidRDefault="00710BDF" w:rsidP="00710BDF">
      <w:pPr>
        <w:pStyle w:val="ListParagraph"/>
        <w:numPr>
          <w:ilvl w:val="1"/>
          <w:numId w:val="3"/>
        </w:numPr>
      </w:pPr>
      <w:r>
        <w:t>Social Skills</w:t>
      </w:r>
    </w:p>
    <w:p w14:paraId="5DD265C0" w14:textId="77777777" w:rsidR="00710BDF" w:rsidRDefault="00710BDF" w:rsidP="00710BDF">
      <w:pPr>
        <w:pStyle w:val="ListParagraph"/>
        <w:numPr>
          <w:ilvl w:val="1"/>
          <w:numId w:val="3"/>
        </w:numPr>
      </w:pPr>
      <w:r>
        <w:t>Daily Living Skills</w:t>
      </w:r>
    </w:p>
    <w:p w14:paraId="6B9652D6" w14:textId="77777777" w:rsidR="00710BDF" w:rsidRDefault="00710BDF" w:rsidP="00710BDF">
      <w:pPr>
        <w:pStyle w:val="ListParagraph"/>
        <w:numPr>
          <w:ilvl w:val="1"/>
          <w:numId w:val="3"/>
        </w:numPr>
      </w:pPr>
      <w:r>
        <w:t>Financial</w:t>
      </w:r>
    </w:p>
    <w:p w14:paraId="00F4BEA7" w14:textId="77777777" w:rsidR="00710BDF" w:rsidRDefault="00710BDF" w:rsidP="00710BDF">
      <w:pPr>
        <w:pStyle w:val="ListParagraph"/>
        <w:numPr>
          <w:ilvl w:val="1"/>
          <w:numId w:val="3"/>
        </w:numPr>
      </w:pPr>
      <w:r>
        <w:t>Educational/Vocational</w:t>
      </w:r>
    </w:p>
    <w:p w14:paraId="4842B727" w14:textId="10F983AA" w:rsidR="00DE36EA" w:rsidRDefault="001106BA" w:rsidP="00DE36EA">
      <w:pPr>
        <w:pStyle w:val="ListParagraph"/>
        <w:numPr>
          <w:ilvl w:val="0"/>
          <w:numId w:val="3"/>
        </w:numPr>
      </w:pPr>
      <w:r>
        <w:t>Any responses</w:t>
      </w:r>
      <w:r w:rsidR="00DE36EA">
        <w:t xml:space="preserve"> </w:t>
      </w:r>
      <w:r w:rsidR="001449BB">
        <w:t>with a</w:t>
      </w:r>
      <w:r w:rsidR="00DE36EA">
        <w:t xml:space="preserve"> 3</w:t>
      </w:r>
      <w:r w:rsidR="004240B5">
        <w:t xml:space="preserve"> or below</w:t>
      </w:r>
      <w:r w:rsidR="00DE36EA">
        <w:t xml:space="preserve"> </w:t>
      </w:r>
      <w:r w:rsidR="001449BB">
        <w:t>must be addressed in the ACTIONS/COMMENTS section of the form.</w:t>
      </w:r>
      <w:r w:rsidR="00DE36EA">
        <w:t xml:space="preserve"> </w:t>
      </w:r>
    </w:p>
    <w:p w14:paraId="42792CA2" w14:textId="77777777" w:rsidR="00DE36EA" w:rsidRDefault="00DE36EA" w:rsidP="00DE36EA"/>
    <w:p w14:paraId="3DB22382" w14:textId="77777777" w:rsidR="00DE36EA" w:rsidRDefault="00DE36EA" w:rsidP="00DE36EA"/>
    <w:p w14:paraId="76091833" w14:textId="77777777" w:rsidR="00DE36EA" w:rsidRDefault="00DE36EA" w:rsidP="00DE36EA">
      <w:r>
        <w:rPr>
          <w:b/>
        </w:rPr>
        <w:t>DOCUMENTATION STANDARDS:</w:t>
      </w:r>
    </w:p>
    <w:p w14:paraId="55F264E5" w14:textId="178799C0" w:rsidR="00DE36EA" w:rsidRDefault="00DE36EA" w:rsidP="00DE36EA">
      <w:pPr>
        <w:pStyle w:val="ListParagraph"/>
        <w:numPr>
          <w:ilvl w:val="0"/>
          <w:numId w:val="4"/>
        </w:numPr>
      </w:pPr>
      <w:r>
        <w:t>For clients 16 years or older, within 30 calendar days of opening the client to the program. When client has been in the System of Care, the evaluation form should be requested from the prior provider.  If the evaluation is not received prior to the thirty days, a new</w:t>
      </w:r>
      <w:r w:rsidR="004F2545">
        <w:t xml:space="preserve"> </w:t>
      </w:r>
      <w:r>
        <w:t>evaluation shall be completed.</w:t>
      </w:r>
    </w:p>
    <w:p w14:paraId="24BA0322" w14:textId="529EE0BF" w:rsidR="00E84EE0" w:rsidRDefault="004762DE" w:rsidP="00DE36EA">
      <w:pPr>
        <w:pStyle w:val="ListParagraph"/>
        <w:numPr>
          <w:ilvl w:val="0"/>
          <w:numId w:val="4"/>
        </w:numPr>
      </w:pPr>
      <w:r w:rsidRPr="004762DE">
        <w:t>If client is younger than 16 upon admission</w:t>
      </w:r>
      <w:r w:rsidR="00490547">
        <w:t xml:space="preserve"> to the program</w:t>
      </w:r>
      <w:r w:rsidRPr="004762DE">
        <w:t xml:space="preserve"> and turns 16 throughout the course of treatment, the form must be completed within 30 </w:t>
      </w:r>
      <w:r w:rsidR="00A3032B">
        <w:t xml:space="preserve">calendar days </w:t>
      </w:r>
      <w:r w:rsidRPr="004762DE">
        <w:t xml:space="preserve">of </w:t>
      </w:r>
      <w:r w:rsidR="00A3032B">
        <w:t xml:space="preserve">the </w:t>
      </w:r>
      <w:r w:rsidRPr="004762DE">
        <w:t>client’s 16th birthday.</w:t>
      </w:r>
    </w:p>
    <w:p w14:paraId="4F159582" w14:textId="701E26B3" w:rsidR="00DE36EA" w:rsidRPr="00DE36EA" w:rsidRDefault="00DE36EA" w:rsidP="00DE36EA">
      <w:pPr>
        <w:pStyle w:val="ListParagraph"/>
        <w:numPr>
          <w:ilvl w:val="0"/>
          <w:numId w:val="4"/>
        </w:numPr>
        <w:rPr>
          <w:bCs/>
        </w:rPr>
      </w:pPr>
      <w:bookmarkStart w:id="0" w:name="_Hlk46742864"/>
      <w:r w:rsidRPr="00DE36EA">
        <w:rPr>
          <w:bCs/>
        </w:rPr>
        <w:t>The evaluation form must be updated</w:t>
      </w:r>
      <w:r w:rsidR="002C7BE5">
        <w:rPr>
          <w:bCs/>
        </w:rPr>
        <w:t xml:space="preserve"> within 30 days following birthday</w:t>
      </w:r>
      <w:r w:rsidRPr="00DE36EA">
        <w:rPr>
          <w:bCs/>
        </w:rPr>
        <w:t xml:space="preserve"> at age 17, 17 1/2, 18 and yearly thereafter until client is discharged from Children’s Mental Health System of Care.</w:t>
      </w:r>
    </w:p>
    <w:bookmarkEnd w:id="0"/>
    <w:p w14:paraId="0A1580C9" w14:textId="77777777" w:rsidR="00DE36EA" w:rsidRDefault="00DE36EA" w:rsidP="00DE36EA">
      <w:pPr>
        <w:pStyle w:val="ListParagraph"/>
        <w:numPr>
          <w:ilvl w:val="0"/>
          <w:numId w:val="4"/>
        </w:numPr>
      </w:pPr>
      <w:r>
        <w:t xml:space="preserve">Youth Transition </w:t>
      </w:r>
      <w:r>
        <w:rPr>
          <w:bCs/>
        </w:rPr>
        <w:t>Self-Evaluation</w:t>
      </w:r>
      <w:r>
        <w:rPr>
          <w:b/>
        </w:rPr>
        <w:t xml:space="preserve"> </w:t>
      </w:r>
      <w:r>
        <w:t>form (MHS-624) and filed in the hybrid chart.</w:t>
      </w:r>
    </w:p>
    <w:p w14:paraId="75FA495A" w14:textId="77777777" w:rsidR="00D73008" w:rsidRDefault="00D73008" w:rsidP="00DE36EA">
      <w:pPr>
        <w:pStyle w:val="ListParagraph"/>
      </w:pPr>
    </w:p>
    <w:sectPr w:rsidR="00D73008" w:rsidSect="005A3A28">
      <w:headerReference w:type="default" r:id="rId11"/>
      <w:footerReference w:type="default" r:id="rId12"/>
      <w:pgSz w:w="12240" w:h="15840"/>
      <w:pgMar w:top="36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221A" w14:textId="77777777" w:rsidR="001C7A0F" w:rsidRDefault="001C7A0F">
      <w:r>
        <w:separator/>
      </w:r>
    </w:p>
  </w:endnote>
  <w:endnote w:type="continuationSeparator" w:id="0">
    <w:p w14:paraId="3A0ADE6F" w14:textId="77777777" w:rsidR="001C7A0F" w:rsidRDefault="001C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0EBC" w14:textId="3A8D9C87" w:rsidR="00D81C3F" w:rsidRDefault="00D81C3F">
    <w:pPr>
      <w:pStyle w:val="Footer"/>
    </w:pPr>
    <w:r>
      <w:t>Rev</w:t>
    </w:r>
    <w:r w:rsidR="00DE36EA">
      <w:t xml:space="preserve">. </w:t>
    </w:r>
    <w:r w:rsidR="00CC5676">
      <w:t>07</w:t>
    </w:r>
    <w:r w:rsidR="00DE36EA">
      <w:t>/</w:t>
    </w:r>
    <w:r w:rsidR="00CC5676">
      <w:t>27</w:t>
    </w:r>
    <w:r w:rsidR="00DE36EA">
      <w:t>/</w:t>
    </w:r>
    <w:r w:rsidR="00CC5676">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63AB" w14:textId="77777777" w:rsidR="001C7A0F" w:rsidRDefault="001C7A0F">
      <w:r>
        <w:separator/>
      </w:r>
    </w:p>
  </w:footnote>
  <w:footnote w:type="continuationSeparator" w:id="0">
    <w:p w14:paraId="5C7EB523" w14:textId="77777777" w:rsidR="001C7A0F" w:rsidRDefault="001C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26F" w14:textId="77777777" w:rsidR="00122212" w:rsidRDefault="00DE36EA">
    <w:pPr>
      <w:pStyle w:val="Header"/>
      <w:jc w:val="center"/>
      <w:rPr>
        <w:color w:val="365F91" w:themeColor="accent1" w:themeShade="BF"/>
      </w:rPr>
    </w:pPr>
    <w:r>
      <w:rPr>
        <w:noProof/>
        <w:color w:val="365F91" w:themeColor="accent1" w:themeShade="BF"/>
      </w:rPr>
      <mc:AlternateContent>
        <mc:Choice Requires="wpg">
          <w:drawing>
            <wp:anchor distT="0" distB="0" distL="114300" distR="114300" simplePos="0" relativeHeight="251660288" behindDoc="0" locked="0" layoutInCell="0" allowOverlap="1" wp14:anchorId="13191AD5" wp14:editId="4527210A">
              <wp:simplePos x="0" y="0"/>
              <wp:positionH relativeFrom="page">
                <wp:align>right</wp:align>
              </wp:positionH>
              <wp:positionV relativeFrom="page">
                <wp:align>top</wp:align>
              </wp:positionV>
              <wp:extent cx="1334770" cy="3482975"/>
              <wp:effectExtent l="13970" t="7620" r="8255" b="635"/>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2" name="AutoShape 2"/>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3" name="Group 3"/>
                      <wpg:cNvGrpSpPr>
                        <a:grpSpLocks noChangeAspect="1"/>
                      </wpg:cNvGrpSpPr>
                      <wpg:grpSpPr bwMode="auto">
                        <a:xfrm>
                          <a:off x="5531" y="9226"/>
                          <a:ext cx="5291" cy="5845"/>
                          <a:chOff x="5531" y="9226"/>
                          <a:chExt cx="5291" cy="5845"/>
                        </a:xfrm>
                      </wpg:grpSpPr>
                      <wps:wsp>
                        <wps:cNvPr id="4"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6" name="Oval 6"/>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p w14:paraId="092B574D" w14:textId="77777777" w:rsidR="00122212" w:rsidRDefault="00710BDF">
                              <w:pPr>
                                <w:pStyle w:val="Header"/>
                                <w:jc w:val="center"/>
                                <w:rPr>
                                  <w:b/>
                                  <w:bCs/>
                                  <w:color w:val="FFFFFF" w:themeColor="background1"/>
                                </w:rPr>
                              </w:pPr>
                              <w:r>
                                <w:rPr>
                                  <w:b/>
                                  <w:bCs/>
                                  <w:color w:val="FFFFFF" w:themeColor="background1"/>
                                </w:rPr>
                                <w:t>BHS</w:t>
                              </w:r>
                              <w:r>
                                <w:rPr>
                                  <w:b/>
                                  <w:bCs/>
                                  <w:color w:val="FFFFFF" w:themeColor="background1"/>
                                </w:rPr>
                                <w:br/>
                                <w:t>UCRM</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191AD5" id="Group 1" o:spid="_x0000_s1026" style="position:absolute;left:0;text-align:left;margin-left:53.9pt;margin-top:0;width:105.1pt;height:274.25pt;rotation:90;flip:x y;z-index:251660288;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" strokecolor="#a7bfde [1620]">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" path="m6418,1185r,5485l1809,6669c974,5889,,3958,1407,1987,2830,,5591,411,6418,1185xe" fillcolor="#a7bfde [1620]"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" fillcolor="#d3dfee [820]" stroked="f" strokecolor="#a7bfde [1620]">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" fillcolor="#7ba0cd [2420]" stroked="f" strokecolor="#a7bfde [1620]">
                  <o:lock v:ext="edit" aspectratio="t"/>
                  <v:textbox inset="0,0,0,0">
                    <w:txbxContent>
                      <w:p w14:paraId="092B574D" w14:textId="77777777" w:rsidR="00122212" w:rsidRDefault="00710BDF">
                        <w:pPr>
                          <w:pStyle w:val="Header"/>
                          <w:jc w:val="center"/>
                          <w:rPr>
                            <w:b/>
                            <w:bCs/>
                            <w:color w:val="FFFFFF" w:themeColor="background1"/>
                          </w:rPr>
                        </w:pPr>
                        <w:r>
                          <w:rPr>
                            <w:b/>
                            <w:bCs/>
                            <w:color w:val="FFFFFF" w:themeColor="background1"/>
                          </w:rPr>
                          <w:t>BHS</w:t>
                        </w:r>
                        <w:r>
                          <w:rPr>
                            <w:b/>
                            <w:bCs/>
                            <w:color w:val="FFFFFF" w:themeColor="background1"/>
                          </w:rPr>
                          <w:br/>
                          <w:t>UCRM</w:t>
                        </w:r>
                      </w:p>
                    </w:txbxContent>
                  </v:textbox>
                </v:oval>
              </v:group>
              <w10:wrap anchorx="page" anchory="page"/>
            </v:group>
          </w:pict>
        </mc:Fallback>
      </mc:AlternateContent>
    </w:r>
    <w:sdt>
      <w:sdtPr>
        <w:rPr>
          <w:color w:val="365F91" w:themeColor="accent1" w:themeShade="BF"/>
          <w:sz w:val="32"/>
        </w:rPr>
        <w:alias w:val="Title"/>
        <w:id w:val="78131009"/>
        <w:placeholder>
          <w:docPart w:val="4D71369A3D7D4832824A67F5D720C15E"/>
        </w:placeholder>
        <w:dataBinding w:prefixMappings="xmlns:ns0='http://schemas.openxmlformats.org/package/2006/metadata/core-properties' xmlns:ns1='http://purl.org/dc/elements/1.1/'" w:xpath="/ns0:coreProperties[1]/ns1:title[1]" w:storeItemID="{6C3C8BC8-F283-45AE-878A-BAB7291924A1}"/>
        <w:text/>
      </w:sdtPr>
      <w:sdtEndPr/>
      <w:sdtContent>
        <w:r w:rsidR="00122212" w:rsidRPr="00122212">
          <w:rPr>
            <w:color w:val="365F91" w:themeColor="accent1" w:themeShade="BF"/>
            <w:sz w:val="32"/>
          </w:rPr>
          <w:t>YOUTH TRANSITION SELF-EVALUATION</w:t>
        </w:r>
      </w:sdtContent>
    </w:sdt>
  </w:p>
  <w:p w14:paraId="4F1A16F5" w14:textId="77777777" w:rsidR="00122212" w:rsidRDefault="0012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CA1"/>
    <w:multiLevelType w:val="hybridMultilevel"/>
    <w:tmpl w:val="CFBCF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844B3"/>
    <w:multiLevelType w:val="hybridMultilevel"/>
    <w:tmpl w:val="AD74C41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3FB12447"/>
    <w:multiLevelType w:val="hybridMultilevel"/>
    <w:tmpl w:val="C090F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16A86"/>
    <w:multiLevelType w:val="hybridMultilevel"/>
    <w:tmpl w:val="D26E3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QF6wS5HyngAChBzwI85R9PtZgP1aCxBocjyqs0wWwh5Kv20pmJ0V36R7nZIoOtRcz1UYIg6aN4c417wXwt53aQ==" w:salt="Xf0MQACf2yVQcf9TMEQOo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7F"/>
    <w:rsid w:val="00071EF6"/>
    <w:rsid w:val="001106BA"/>
    <w:rsid w:val="00116E82"/>
    <w:rsid w:val="00122212"/>
    <w:rsid w:val="001449BB"/>
    <w:rsid w:val="001C7A0F"/>
    <w:rsid w:val="002C7BE5"/>
    <w:rsid w:val="003A2928"/>
    <w:rsid w:val="004240B5"/>
    <w:rsid w:val="00447FE6"/>
    <w:rsid w:val="00462838"/>
    <w:rsid w:val="004762DE"/>
    <w:rsid w:val="00490547"/>
    <w:rsid w:val="004F2545"/>
    <w:rsid w:val="005561D4"/>
    <w:rsid w:val="005A3A28"/>
    <w:rsid w:val="005C006A"/>
    <w:rsid w:val="006D4625"/>
    <w:rsid w:val="007061E7"/>
    <w:rsid w:val="00710BDF"/>
    <w:rsid w:val="007324DF"/>
    <w:rsid w:val="007371FA"/>
    <w:rsid w:val="007D2F7D"/>
    <w:rsid w:val="008F07D4"/>
    <w:rsid w:val="00A3032B"/>
    <w:rsid w:val="00A63BC9"/>
    <w:rsid w:val="00C04519"/>
    <w:rsid w:val="00C21057"/>
    <w:rsid w:val="00C60E76"/>
    <w:rsid w:val="00C615D6"/>
    <w:rsid w:val="00CC5676"/>
    <w:rsid w:val="00D73008"/>
    <w:rsid w:val="00D81C3F"/>
    <w:rsid w:val="00D921FF"/>
    <w:rsid w:val="00DE36EA"/>
    <w:rsid w:val="00E73D7F"/>
    <w:rsid w:val="00E8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09D78B"/>
  <w15:docId w15:val="{A51B279B-CD20-476B-8724-F83F871E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A28"/>
    <w:rPr>
      <w:sz w:val="24"/>
      <w:szCs w:val="24"/>
    </w:rPr>
  </w:style>
  <w:style w:type="paragraph" w:styleId="Heading1">
    <w:name w:val="heading 1"/>
    <w:basedOn w:val="Normal"/>
    <w:next w:val="Normal"/>
    <w:qFormat/>
    <w:rsid w:val="005A3A2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5A3A28"/>
    <w:pPr>
      <w:framePr w:w="7920" w:h="1980" w:hRule="exact" w:hSpace="180" w:wrap="auto" w:hAnchor="page" w:xAlign="center" w:yAlign="bottom"/>
      <w:ind w:left="2880"/>
    </w:pPr>
    <w:rPr>
      <w:rFonts w:ascii="Vladimir Script" w:hAnsi="Vladimir Script" w:cs="Arial"/>
      <w:sz w:val="44"/>
      <w:szCs w:val="44"/>
    </w:rPr>
  </w:style>
  <w:style w:type="paragraph" w:styleId="EnvelopeReturn">
    <w:name w:val="envelope return"/>
    <w:basedOn w:val="Normal"/>
    <w:semiHidden/>
    <w:rsid w:val="005A3A28"/>
    <w:rPr>
      <w:rFonts w:ascii="Vladimir Script" w:hAnsi="Vladimir Script" w:cs="Arial"/>
      <w:sz w:val="36"/>
      <w:szCs w:val="36"/>
    </w:rPr>
  </w:style>
  <w:style w:type="paragraph" w:styleId="BodyTextIndent">
    <w:name w:val="Body Text Indent"/>
    <w:basedOn w:val="Normal"/>
    <w:semiHidden/>
    <w:rsid w:val="005A3A28"/>
    <w:pPr>
      <w:ind w:left="2160" w:firstLine="720"/>
    </w:pPr>
    <w:rPr>
      <w:bCs/>
    </w:rPr>
  </w:style>
  <w:style w:type="paragraph" w:styleId="BodyTextIndent2">
    <w:name w:val="Body Text Indent 2"/>
    <w:basedOn w:val="Normal"/>
    <w:semiHidden/>
    <w:rsid w:val="005A3A28"/>
    <w:pPr>
      <w:ind w:left="2880"/>
    </w:pPr>
  </w:style>
  <w:style w:type="paragraph" w:styleId="Title">
    <w:name w:val="Title"/>
    <w:basedOn w:val="Normal"/>
    <w:qFormat/>
    <w:rsid w:val="005A3A28"/>
    <w:pPr>
      <w:jc w:val="center"/>
    </w:pPr>
    <w:rPr>
      <w:b/>
    </w:rPr>
  </w:style>
  <w:style w:type="paragraph" w:styleId="BodyTextIndent3">
    <w:name w:val="Body Text Indent 3"/>
    <w:basedOn w:val="Normal"/>
    <w:semiHidden/>
    <w:rsid w:val="005A3A28"/>
    <w:pPr>
      <w:ind w:left="2880"/>
      <w:jc w:val="both"/>
    </w:pPr>
  </w:style>
  <w:style w:type="paragraph" w:styleId="Header">
    <w:name w:val="header"/>
    <w:basedOn w:val="Normal"/>
    <w:link w:val="HeaderChar"/>
    <w:uiPriority w:val="99"/>
    <w:rsid w:val="005A3A28"/>
    <w:pPr>
      <w:tabs>
        <w:tab w:val="center" w:pos="4320"/>
        <w:tab w:val="right" w:pos="8640"/>
      </w:tabs>
    </w:pPr>
  </w:style>
  <w:style w:type="paragraph" w:styleId="Footer">
    <w:name w:val="footer"/>
    <w:basedOn w:val="Normal"/>
    <w:semiHidden/>
    <w:rsid w:val="005A3A28"/>
    <w:pPr>
      <w:tabs>
        <w:tab w:val="center" w:pos="4320"/>
        <w:tab w:val="right" w:pos="8640"/>
      </w:tabs>
    </w:pPr>
  </w:style>
  <w:style w:type="character" w:customStyle="1" w:styleId="HeaderChar">
    <w:name w:val="Header Char"/>
    <w:basedOn w:val="DefaultParagraphFont"/>
    <w:link w:val="Header"/>
    <w:uiPriority w:val="99"/>
    <w:rsid w:val="00D73008"/>
    <w:rPr>
      <w:sz w:val="24"/>
      <w:szCs w:val="24"/>
    </w:rPr>
  </w:style>
  <w:style w:type="paragraph" w:styleId="BalloonText">
    <w:name w:val="Balloon Text"/>
    <w:basedOn w:val="Normal"/>
    <w:link w:val="BalloonTextChar"/>
    <w:uiPriority w:val="99"/>
    <w:semiHidden/>
    <w:unhideWhenUsed/>
    <w:rsid w:val="00D73008"/>
    <w:rPr>
      <w:rFonts w:ascii="Tahoma" w:hAnsi="Tahoma" w:cs="Tahoma"/>
      <w:sz w:val="16"/>
      <w:szCs w:val="16"/>
    </w:rPr>
  </w:style>
  <w:style w:type="character" w:customStyle="1" w:styleId="BalloonTextChar">
    <w:name w:val="Balloon Text Char"/>
    <w:basedOn w:val="DefaultParagraphFont"/>
    <w:link w:val="BalloonText"/>
    <w:uiPriority w:val="99"/>
    <w:semiHidden/>
    <w:rsid w:val="00D73008"/>
    <w:rPr>
      <w:rFonts w:ascii="Tahoma" w:hAnsi="Tahoma" w:cs="Tahoma"/>
      <w:sz w:val="16"/>
      <w:szCs w:val="16"/>
    </w:rPr>
  </w:style>
  <w:style w:type="paragraph" w:styleId="ListParagraph">
    <w:name w:val="List Paragraph"/>
    <w:basedOn w:val="Normal"/>
    <w:uiPriority w:val="34"/>
    <w:qFormat/>
    <w:rsid w:val="00710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1369A3D7D4832824A67F5D720C15E"/>
        <w:category>
          <w:name w:val="General"/>
          <w:gallery w:val="placeholder"/>
        </w:category>
        <w:types>
          <w:type w:val="bbPlcHdr"/>
        </w:types>
        <w:behaviors>
          <w:behavior w:val="content"/>
        </w:behaviors>
        <w:guid w:val="{A9019360-6AB9-4725-A3A7-24089E8DCFB7}"/>
      </w:docPartPr>
      <w:docPartBody>
        <w:p w:rsidR="00731411" w:rsidRDefault="00731411" w:rsidP="00731411">
          <w:pPr>
            <w:pStyle w:val="4D71369A3D7D4832824A67F5D720C15E"/>
          </w:pPr>
          <w:r>
            <w:rPr>
              <w:color w:val="2F5496" w:themeColor="accent1" w:themeShade="BF"/>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1411"/>
    <w:rsid w:val="00565E92"/>
    <w:rsid w:val="00731411"/>
    <w:rsid w:val="00A5502E"/>
    <w:rsid w:val="00AD489D"/>
    <w:rsid w:val="00AF14FB"/>
    <w:rsid w:val="00B23616"/>
    <w:rsid w:val="00ED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71369A3D7D4832824A67F5D720C15E">
    <w:name w:val="4D71369A3D7D4832824A67F5D720C15E"/>
    <w:rsid w:val="00731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B</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dbf8c412098755c6d535367b50c1c7c7">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2b6ebe0e8a9b655497387e3ec02bc82b"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enumeration value="Melissa Depoorter"/>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orkflowStatus xmlns="bfab196a-cace-474d-a231-7bb110c4ee4f">Please Select</WorkflowStatus>
    <WrkStatus xmlns="bfab196a-cace-474d-a231-7bb110c4ee4f">Please Select</WrkStatus>
    <Referral_x0020_Staff xmlns="bfab196a-cace-474d-a231-7bb110c4ee4f">Please Select</Referral_x0020_Staff>
    <TERM_x0020_Staff xmlns="bfab196a-cace-474d-a231-7bb110c4ee4f">Please Select</TERM_x0020_Staff>
    <TaxCatchAll xmlns="0ece259b-6e50-487f-b04f-8bc6d1505e83" xsi:nil="true"/>
    <lcf76f155ced4ddcb4097134ff3c332f xmlns="bfab196a-cace-474d-a231-7bb110c4ee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1ECAF6-B2D0-482B-ACB2-876DE10FF09A}"/>
</file>

<file path=customXml/itemProps3.xml><?xml version="1.0" encoding="utf-8"?>
<ds:datastoreItem xmlns:ds="http://schemas.openxmlformats.org/officeDocument/2006/customXml" ds:itemID="{665EAA7A-046A-41F4-96F0-304132E7FD06}">
  <ds:schemaRefs>
    <ds:schemaRef ds:uri="http://schemas.microsoft.com/sharepoint/v3/contenttype/forms"/>
  </ds:schemaRefs>
</ds:datastoreItem>
</file>

<file path=customXml/itemProps4.xml><?xml version="1.0" encoding="utf-8"?>
<ds:datastoreItem xmlns:ds="http://schemas.openxmlformats.org/officeDocument/2006/customXml" ds:itemID="{1F4672A3-CD59-4256-9901-4613694B8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177</Words>
  <Characters>1014</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YOUTH TRANSITION SELF-EVALUATION</vt:lpstr>
    </vt:vector>
  </TitlesOfParts>
  <Company>The County of San Diego</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TRANSITION SELF-EVALUATION</dc:title>
  <dc:creator>Preferred Customer</dc:creator>
  <cp:lastModifiedBy>Jones, Kristi</cp:lastModifiedBy>
  <cp:revision>12</cp:revision>
  <cp:lastPrinted>2012-08-02T19:42:00Z</cp:lastPrinted>
  <dcterms:created xsi:type="dcterms:W3CDTF">2020-06-17T22:40:00Z</dcterms:created>
  <dcterms:modified xsi:type="dcterms:W3CDTF">2021-08-20T22:24:00Z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ies>
</file>